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Rama Legislativa del Poder Público</w:t>
      </w:r>
    </w:p>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Comisión Séptima Constitucional Permanente</w:t>
      </w:r>
    </w:p>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Legislatura 2022-2023</w:t>
      </w:r>
    </w:p>
    <w:p w:rsidR="00FD1C7F" w:rsidRPr="00C52DF3" w:rsidRDefault="00FD1C7F">
      <w:pPr>
        <w:pBdr>
          <w:top w:val="nil"/>
          <w:left w:val="nil"/>
          <w:bottom w:val="nil"/>
          <w:right w:val="nil"/>
          <w:between w:val="nil"/>
        </w:pBdr>
        <w:spacing w:after="0" w:line="240" w:lineRule="auto"/>
        <w:jc w:val="both"/>
        <w:rPr>
          <w:rFonts w:ascii="Arial" w:eastAsia="Pinyon Script" w:hAnsi="Arial" w:cs="Arial"/>
          <w:b/>
          <w:color w:val="000000"/>
          <w:highlight w:val="yellow"/>
        </w:rPr>
      </w:pPr>
    </w:p>
    <w:p w:rsidR="00FD1C7F" w:rsidRPr="00C52DF3" w:rsidRDefault="00C17061">
      <w:pPr>
        <w:pBdr>
          <w:top w:val="nil"/>
          <w:left w:val="nil"/>
          <w:bottom w:val="nil"/>
          <w:right w:val="nil"/>
          <w:between w:val="nil"/>
        </w:pBdr>
        <w:spacing w:after="0" w:line="240" w:lineRule="auto"/>
        <w:jc w:val="both"/>
        <w:rPr>
          <w:rFonts w:ascii="Arial" w:eastAsia="Arial" w:hAnsi="Arial" w:cs="Arial"/>
          <w:b/>
          <w:color w:val="000000"/>
        </w:rPr>
      </w:pPr>
      <w:r w:rsidRPr="00C52DF3">
        <w:rPr>
          <w:rFonts w:ascii="Arial" w:eastAsia="Arial" w:hAnsi="Arial" w:cs="Arial"/>
          <w:b/>
          <w:color w:val="000000"/>
        </w:rPr>
        <w:t xml:space="preserve">TEXTO DEFINITIVO APROBADO EN PRIMER DEBATE DEL </w:t>
      </w:r>
      <w:r w:rsidRPr="00C52DF3">
        <w:rPr>
          <w:rFonts w:ascii="Arial" w:eastAsia="Arial" w:hAnsi="Arial" w:cs="Arial"/>
          <w:b/>
        </w:rPr>
        <w:t>PROYECTO DE LEY No. 161 DE 2022 CÁMARA “POR MEDIO DE LA CUAL SE MODIFICA EL CÓDIGO SUSTANTIVO DE TRABAJO CON EL FIN DE ESTABLECER LA LICENCIA MATRIMONIAL”</w:t>
      </w:r>
      <w:r w:rsidR="002F7FD7" w:rsidRPr="00C52DF3">
        <w:rPr>
          <w:rFonts w:ascii="Arial" w:eastAsia="Arial" w:hAnsi="Arial" w:cs="Arial"/>
          <w:b/>
        </w:rPr>
        <w:t>.</w:t>
      </w:r>
    </w:p>
    <w:p w:rsidR="00FD1C7F" w:rsidRPr="00C52DF3" w:rsidRDefault="00FD1C7F">
      <w:pPr>
        <w:pBdr>
          <w:top w:val="nil"/>
          <w:left w:val="nil"/>
          <w:bottom w:val="nil"/>
          <w:right w:val="nil"/>
          <w:between w:val="nil"/>
        </w:pBdr>
        <w:spacing w:after="0" w:line="240" w:lineRule="auto"/>
        <w:jc w:val="both"/>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color w:val="000000"/>
        </w:rPr>
      </w:pPr>
      <w:r w:rsidRPr="00C52DF3">
        <w:rPr>
          <w:rFonts w:ascii="Arial" w:eastAsia="Arial" w:hAnsi="Arial" w:cs="Arial"/>
          <w:color w:val="000000"/>
        </w:rPr>
        <w:t xml:space="preserve">(Aprobado en la Sesión presencial del </w:t>
      </w:r>
      <w:r w:rsidRPr="00C52DF3">
        <w:rPr>
          <w:rFonts w:ascii="Arial" w:eastAsia="Arial" w:hAnsi="Arial" w:cs="Arial"/>
        </w:rPr>
        <w:t>23 de noviembre</w:t>
      </w:r>
      <w:r w:rsidRPr="00C52DF3">
        <w:rPr>
          <w:rFonts w:ascii="Arial" w:eastAsia="Arial" w:hAnsi="Arial" w:cs="Arial"/>
          <w:color w:val="000000"/>
        </w:rPr>
        <w:t xml:space="preserve"> de 2022, Comisión VII Constitucional Permanente de la H. Cámara de Representantes, Acta No. 13)</w:t>
      </w:r>
    </w:p>
    <w:p w:rsidR="00FD1C7F" w:rsidRPr="00C52DF3" w:rsidRDefault="00FD1C7F">
      <w:pPr>
        <w:pBdr>
          <w:top w:val="nil"/>
          <w:left w:val="nil"/>
          <w:bottom w:val="nil"/>
          <w:right w:val="nil"/>
          <w:between w:val="nil"/>
        </w:pBdr>
        <w:spacing w:after="0" w:line="240" w:lineRule="auto"/>
        <w:jc w:val="center"/>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b/>
          <w:color w:val="000000"/>
        </w:rPr>
      </w:pPr>
      <w:r w:rsidRPr="00C52DF3">
        <w:rPr>
          <w:rFonts w:ascii="Arial" w:eastAsia="Arial" w:hAnsi="Arial" w:cs="Arial"/>
          <w:b/>
          <w:color w:val="000000"/>
        </w:rPr>
        <w:t>EL CONGRESO DE COLOMBIA</w:t>
      </w:r>
    </w:p>
    <w:p w:rsidR="00FD1C7F" w:rsidRPr="00C52DF3" w:rsidRDefault="00FD1C7F">
      <w:pPr>
        <w:pBdr>
          <w:top w:val="nil"/>
          <w:left w:val="nil"/>
          <w:bottom w:val="nil"/>
          <w:right w:val="nil"/>
          <w:between w:val="nil"/>
        </w:pBdr>
        <w:spacing w:after="0" w:line="240" w:lineRule="auto"/>
        <w:jc w:val="center"/>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b/>
          <w:color w:val="000000"/>
        </w:rPr>
      </w:pPr>
      <w:r w:rsidRPr="00C52DF3">
        <w:rPr>
          <w:rFonts w:ascii="Arial" w:eastAsia="Arial" w:hAnsi="Arial" w:cs="Arial"/>
          <w:b/>
          <w:color w:val="000000"/>
        </w:rPr>
        <w:t>DECRETA:</w:t>
      </w:r>
    </w:p>
    <w:p w:rsidR="00FD1C7F" w:rsidRPr="00C52DF3" w:rsidRDefault="00C17061">
      <w:pPr>
        <w:spacing w:before="240" w:after="240"/>
        <w:jc w:val="both"/>
        <w:rPr>
          <w:rFonts w:ascii="Arial" w:eastAsia="Arial" w:hAnsi="Arial" w:cs="Arial"/>
        </w:rPr>
      </w:pPr>
      <w:r w:rsidRPr="00C52DF3">
        <w:rPr>
          <w:rFonts w:ascii="Arial" w:eastAsia="Arial" w:hAnsi="Arial" w:cs="Arial"/>
          <w:b/>
        </w:rPr>
        <w:t>Artículo 1°</w:t>
      </w:r>
      <w:r w:rsidRPr="00C52DF3">
        <w:rPr>
          <w:rFonts w:ascii="Arial" w:eastAsia="Arial" w:hAnsi="Arial" w:cs="Arial"/>
        </w:rPr>
        <w:t xml:space="preserve">. </w:t>
      </w:r>
      <w:r w:rsidRPr="00C52DF3">
        <w:rPr>
          <w:rFonts w:ascii="Arial" w:eastAsia="Arial" w:hAnsi="Arial" w:cs="Arial"/>
          <w:b/>
          <w:i/>
        </w:rPr>
        <w:t>Objeto</w:t>
      </w:r>
      <w:r w:rsidRPr="00C52DF3">
        <w:rPr>
          <w:rFonts w:ascii="Arial" w:eastAsia="Arial" w:hAnsi="Arial" w:cs="Arial"/>
          <w:i/>
        </w:rPr>
        <w:t xml:space="preserve">. </w:t>
      </w:r>
      <w:r w:rsidRPr="00C52DF3">
        <w:rPr>
          <w:rFonts w:ascii="Arial" w:eastAsia="Arial" w:hAnsi="Arial" w:cs="Arial"/>
        </w:rPr>
        <w:t>La presente ley tiene por objeto el otorgamiento de una licencia remunerada para aquellas parejas que contraen matrimonio o declaren judicialmente a través de escritura pública o acta de conciliación la unión marital de hecho.</w:t>
      </w:r>
    </w:p>
    <w:p w:rsidR="00FD1C7F" w:rsidRPr="00C52DF3" w:rsidRDefault="00C17061">
      <w:pPr>
        <w:spacing w:before="240" w:after="240"/>
        <w:jc w:val="both"/>
        <w:rPr>
          <w:rFonts w:ascii="Arial" w:eastAsia="Arial" w:hAnsi="Arial" w:cs="Arial"/>
        </w:rPr>
      </w:pPr>
      <w:r w:rsidRPr="00C52DF3">
        <w:rPr>
          <w:rFonts w:ascii="Arial" w:eastAsia="Arial" w:hAnsi="Arial" w:cs="Arial"/>
          <w:b/>
        </w:rPr>
        <w:t>Artículo 2°</w:t>
      </w:r>
      <w:r w:rsidRPr="00C52DF3">
        <w:rPr>
          <w:rFonts w:ascii="Arial" w:eastAsia="Arial" w:hAnsi="Arial" w:cs="Arial"/>
        </w:rPr>
        <w:t xml:space="preserve">. Adiciónese un numeral al artículo 57 del Código Sustantivo del Trabajo, el cual quedará así: </w:t>
      </w:r>
    </w:p>
    <w:p w:rsidR="00FD1C7F" w:rsidRPr="00C52DF3" w:rsidRDefault="00C17061">
      <w:pPr>
        <w:spacing w:before="240" w:after="240"/>
        <w:jc w:val="both"/>
        <w:rPr>
          <w:rFonts w:ascii="Arial" w:eastAsia="Arial" w:hAnsi="Arial" w:cs="Arial"/>
        </w:rPr>
      </w:pPr>
      <w:r w:rsidRPr="00C52DF3">
        <w:rPr>
          <w:rFonts w:ascii="Arial" w:eastAsia="Arial" w:hAnsi="Arial" w:cs="Arial"/>
        </w:rPr>
        <w:t>13. Licencia por matrimonio. Conceder al trabajador o trabajadora</w:t>
      </w:r>
      <w:r w:rsidR="00F24F88" w:rsidRPr="00C52DF3">
        <w:rPr>
          <w:rFonts w:ascii="Arial" w:eastAsia="Arial" w:hAnsi="Arial" w:cs="Arial"/>
        </w:rPr>
        <w:t xml:space="preserve"> </w:t>
      </w:r>
      <w:r w:rsidRPr="00C52DF3">
        <w:rPr>
          <w:rFonts w:ascii="Arial" w:eastAsia="Arial" w:hAnsi="Arial" w:cs="Arial"/>
        </w:rPr>
        <w:t xml:space="preserve">que contraiga matrimonio o haya declarado la unión marital de hecho, de conformidad con el literal a) del artículo 2° de la Ley 54 de 1990, una licencia remunerada de tres (3) días hábiles independiente del tipo de vinculación o el tiempo de servicio. Este beneficio podrá hacerse efectivo solamente durante los treinta (30) días siguientes de haberse llevado a cabo el matrimonio o haber sido declarada la unión marital de hecho. </w:t>
      </w:r>
    </w:p>
    <w:p w:rsidR="00FD1C7F" w:rsidRPr="00C52DF3" w:rsidRDefault="00C17061">
      <w:pPr>
        <w:spacing w:before="240" w:after="240"/>
        <w:jc w:val="both"/>
        <w:rPr>
          <w:rFonts w:ascii="Arial" w:eastAsia="Arial" w:hAnsi="Arial" w:cs="Arial"/>
        </w:rPr>
      </w:pPr>
      <w:r w:rsidRPr="00C52DF3">
        <w:rPr>
          <w:rFonts w:ascii="Arial" w:eastAsia="Arial" w:hAnsi="Arial" w:cs="Arial"/>
        </w:rPr>
        <w:t xml:space="preserve">El empleador deberá ser notificado con una antelación no menor a treinta (30) días calendario antes de hacer uso de la licencia con el fin de programar la fecha en la cual el trabajador o </w:t>
      </w:r>
      <w:r w:rsidR="00F24F88" w:rsidRPr="00C52DF3">
        <w:rPr>
          <w:rFonts w:ascii="Arial" w:eastAsia="Arial" w:hAnsi="Arial" w:cs="Arial"/>
        </w:rPr>
        <w:t>trabajadora</w:t>
      </w:r>
      <w:r w:rsidR="00F24F88" w:rsidRPr="00C52DF3">
        <w:rPr>
          <w:rFonts w:ascii="Arial" w:eastAsia="Arial" w:hAnsi="Arial" w:cs="Arial"/>
          <w:b/>
        </w:rPr>
        <w:t xml:space="preserve"> </w:t>
      </w:r>
      <w:r w:rsidR="00F24F88" w:rsidRPr="00C52DF3">
        <w:rPr>
          <w:rFonts w:ascii="Arial" w:eastAsia="Arial" w:hAnsi="Arial" w:cs="Arial"/>
        </w:rPr>
        <w:t>disfrutará</w:t>
      </w:r>
      <w:r w:rsidRPr="00C52DF3">
        <w:rPr>
          <w:rFonts w:ascii="Arial" w:eastAsia="Arial" w:hAnsi="Arial" w:cs="Arial"/>
        </w:rPr>
        <w:t xml:space="preserve"> del beneficio. </w:t>
      </w:r>
    </w:p>
    <w:p w:rsidR="00FD1C7F" w:rsidRPr="00C52DF3" w:rsidRDefault="00C17061">
      <w:pPr>
        <w:spacing w:before="240" w:after="240"/>
        <w:jc w:val="both"/>
        <w:rPr>
          <w:rFonts w:ascii="Arial" w:eastAsia="Arial" w:hAnsi="Arial" w:cs="Arial"/>
        </w:rPr>
      </w:pPr>
      <w:r w:rsidRPr="00C52DF3">
        <w:rPr>
          <w:rFonts w:ascii="Arial" w:eastAsia="Arial" w:hAnsi="Arial" w:cs="Arial"/>
        </w:rPr>
        <w:t xml:space="preserve">Los soportes válidos para el otorgamiento de la licencia por matrimonio son el Registro Civil de Matrimonio o la prueba declaratoria de la unión marital de hecho en los términos exigidos por el artículo 4° de la Ley 54 de 1990. </w:t>
      </w:r>
    </w:p>
    <w:p w:rsidR="0048358A" w:rsidRDefault="00C17061">
      <w:pPr>
        <w:spacing w:before="240" w:after="240"/>
        <w:jc w:val="both"/>
        <w:rPr>
          <w:rFonts w:ascii="Arial" w:eastAsia="Arial" w:hAnsi="Arial" w:cs="Arial"/>
        </w:rPr>
      </w:pPr>
      <w:r w:rsidRPr="00C52DF3">
        <w:rPr>
          <w:rFonts w:ascii="Arial" w:eastAsia="Arial" w:hAnsi="Arial" w:cs="Arial"/>
          <w:b/>
        </w:rPr>
        <w:t>Parágrafo 1°.</w:t>
      </w:r>
      <w:r w:rsidRPr="00C52DF3">
        <w:rPr>
          <w:rFonts w:ascii="Arial" w:eastAsia="Arial" w:hAnsi="Arial" w:cs="Arial"/>
        </w:rPr>
        <w:t xml:space="preserve"> Los beneficios incluidos en este artículo serán también aplicables para los trabajadores del sector público.</w:t>
      </w:r>
    </w:p>
    <w:p w:rsidR="0048358A" w:rsidRDefault="0048358A" w:rsidP="0048358A">
      <w:pPr>
        <w:spacing w:before="240" w:after="240"/>
        <w:jc w:val="both"/>
        <w:rPr>
          <w:rFonts w:ascii="Arial" w:eastAsia="Arial" w:hAnsi="Arial" w:cs="Arial"/>
        </w:rPr>
      </w:pPr>
      <w:r>
        <w:rPr>
          <w:rFonts w:ascii="Arial" w:eastAsia="Arial" w:hAnsi="Arial" w:cs="Arial"/>
          <w:b/>
        </w:rPr>
        <w:t>Parágrafo 2°.</w:t>
      </w:r>
      <w:r>
        <w:rPr>
          <w:rFonts w:ascii="Arial" w:eastAsia="Arial" w:hAnsi="Arial" w:cs="Arial"/>
        </w:rPr>
        <w:t xml:space="preserve"> La licencia de matrimonio será otorgada hasta por una única </w:t>
      </w:r>
      <w:r w:rsidRPr="0048358A">
        <w:rPr>
          <w:rFonts w:ascii="Arial" w:eastAsia="Arial" w:hAnsi="Arial" w:cs="Arial"/>
        </w:rPr>
        <w:t>vez</w:t>
      </w:r>
      <w:r w:rsidRPr="0048358A">
        <w:rPr>
          <w:rFonts w:ascii="Arial" w:eastAsia="Arial" w:hAnsi="Arial" w:cs="Arial"/>
        </w:rPr>
        <w:t xml:space="preserve"> dos veces</w:t>
      </w:r>
      <w:r w:rsidRPr="0048358A">
        <w:rPr>
          <w:rFonts w:ascii="Arial" w:eastAsia="Arial" w:hAnsi="Arial" w:cs="Arial"/>
        </w:rPr>
        <w:t>,</w:t>
      </w:r>
      <w:r>
        <w:rPr>
          <w:rFonts w:ascii="Arial" w:eastAsia="Arial" w:hAnsi="Arial" w:cs="Arial"/>
        </w:rPr>
        <w:t xml:space="preserve"> bien sea por el primer matrimonio o la declaración de la unión marital de hecho, en tanto medie la misma relación laboral</w:t>
      </w:r>
    </w:p>
    <w:p w:rsidR="00CB3368" w:rsidRDefault="00C17061" w:rsidP="00CB3368">
      <w:pPr>
        <w:spacing w:before="240" w:after="240"/>
        <w:jc w:val="both"/>
        <w:rPr>
          <w:rFonts w:ascii="Arial" w:eastAsia="Arial" w:hAnsi="Arial" w:cs="Arial"/>
        </w:rPr>
      </w:pPr>
      <w:r w:rsidRPr="00C52DF3">
        <w:rPr>
          <w:rFonts w:ascii="Arial" w:eastAsia="Arial" w:hAnsi="Arial" w:cs="Arial"/>
        </w:rPr>
        <w:t xml:space="preserve"> </w:t>
      </w:r>
      <w:r w:rsidR="00CB3368">
        <w:rPr>
          <w:rFonts w:ascii="Arial" w:eastAsia="Arial" w:hAnsi="Arial" w:cs="Arial"/>
          <w:b/>
        </w:rPr>
        <w:t>Parágrafo 2°.</w:t>
      </w:r>
      <w:r w:rsidR="00CB3368">
        <w:rPr>
          <w:rFonts w:ascii="Arial" w:eastAsia="Arial" w:hAnsi="Arial" w:cs="Arial"/>
        </w:rPr>
        <w:t xml:space="preserve"> La licencia de matrimonio será otorgada hasta por una única </w:t>
      </w:r>
      <w:r w:rsidR="00CB3368">
        <w:rPr>
          <w:rFonts w:ascii="Arial" w:eastAsia="Arial" w:hAnsi="Arial" w:cs="Arial"/>
          <w:b/>
          <w:u w:val="single"/>
        </w:rPr>
        <w:t>vez,</w:t>
      </w:r>
      <w:r w:rsidR="00CB3368">
        <w:rPr>
          <w:rFonts w:ascii="Arial" w:eastAsia="Arial" w:hAnsi="Arial" w:cs="Arial"/>
        </w:rPr>
        <w:t xml:space="preserve"> bien sea por el primer matrimonio o la declaración de la unión marital de hecho, en tanto medie la misma relación laboral</w:t>
      </w:r>
    </w:p>
    <w:p w:rsidR="00FD1C7F" w:rsidRPr="00C52DF3" w:rsidRDefault="00FD1C7F">
      <w:pPr>
        <w:spacing w:before="240" w:after="240"/>
        <w:jc w:val="both"/>
        <w:rPr>
          <w:rFonts w:ascii="Arial" w:eastAsia="Arial" w:hAnsi="Arial" w:cs="Arial"/>
        </w:rPr>
      </w:pPr>
      <w:bookmarkStart w:id="0" w:name="_GoBack"/>
      <w:bookmarkEnd w:id="0"/>
    </w:p>
    <w:p w:rsidR="00FD1C7F" w:rsidRPr="00C52DF3" w:rsidRDefault="00C17061">
      <w:pPr>
        <w:spacing w:before="240" w:after="240"/>
        <w:jc w:val="both"/>
        <w:rPr>
          <w:rFonts w:ascii="Arial" w:eastAsia="Arial" w:hAnsi="Arial" w:cs="Arial"/>
        </w:rPr>
      </w:pPr>
      <w:r w:rsidRPr="00C52DF3">
        <w:rPr>
          <w:rFonts w:ascii="Arial" w:eastAsia="Arial" w:hAnsi="Arial" w:cs="Arial"/>
          <w:b/>
        </w:rPr>
        <w:t xml:space="preserve">Artículo 3. </w:t>
      </w:r>
      <w:r w:rsidRPr="00C52DF3">
        <w:rPr>
          <w:rFonts w:ascii="Arial" w:eastAsia="Arial" w:hAnsi="Arial" w:cs="Arial"/>
        </w:rPr>
        <w:t xml:space="preserve">La licencia por matrimonio y sus beneficios se aplicará a todos los servidores públicos, entendiéndose modificadas por la presente ley, las normas especiales que regulan las relaciones de esto servidores, según el tipo de vinculación laboral que los rigen. </w:t>
      </w:r>
    </w:p>
    <w:p w:rsidR="00FD1C7F" w:rsidRPr="00C52DF3" w:rsidRDefault="00C17061">
      <w:pPr>
        <w:spacing w:before="240" w:after="240"/>
        <w:jc w:val="both"/>
        <w:rPr>
          <w:rFonts w:ascii="Arial" w:eastAsia="Arial" w:hAnsi="Arial" w:cs="Arial"/>
        </w:rPr>
      </w:pPr>
      <w:r w:rsidRPr="00C52DF3">
        <w:rPr>
          <w:rFonts w:ascii="Arial" w:eastAsia="Arial" w:hAnsi="Arial" w:cs="Arial"/>
        </w:rPr>
        <w:t xml:space="preserve">Parágrafo 1. Cuando en </w:t>
      </w:r>
      <w:r w:rsidR="00C52DF3" w:rsidRPr="00C52DF3">
        <w:rPr>
          <w:rFonts w:ascii="Arial" w:eastAsia="Arial" w:hAnsi="Arial" w:cs="Arial"/>
        </w:rPr>
        <w:t>las Convenciones Colectivas de t</w:t>
      </w:r>
      <w:r w:rsidRPr="00C52DF3">
        <w:rPr>
          <w:rFonts w:ascii="Arial" w:eastAsia="Arial" w:hAnsi="Arial" w:cs="Arial"/>
        </w:rPr>
        <w:t xml:space="preserve">rabajo, Acuerdos Colectivos, Pactos o </w:t>
      </w:r>
      <w:r w:rsidR="00C52DF3" w:rsidRPr="00C52DF3">
        <w:rPr>
          <w:rFonts w:ascii="Arial" w:eastAsia="Arial" w:hAnsi="Arial" w:cs="Arial"/>
        </w:rPr>
        <w:t>laudos arbitrales</w:t>
      </w:r>
      <w:r w:rsidRPr="00C52DF3">
        <w:rPr>
          <w:rFonts w:ascii="Arial" w:eastAsia="Arial" w:hAnsi="Arial" w:cs="Arial"/>
        </w:rPr>
        <w:t>, reglamentos de trabajo, se disponga beneficios mayores a l</w:t>
      </w:r>
      <w:r w:rsidR="00C52DF3" w:rsidRPr="00C52DF3">
        <w:rPr>
          <w:rFonts w:ascii="Arial" w:eastAsia="Arial" w:hAnsi="Arial" w:cs="Arial"/>
        </w:rPr>
        <w:t>os establecidos en la presente L</w:t>
      </w:r>
      <w:r w:rsidRPr="00C52DF3">
        <w:rPr>
          <w:rFonts w:ascii="Arial" w:eastAsia="Arial" w:hAnsi="Arial" w:cs="Arial"/>
        </w:rPr>
        <w:t>ey, se entenderá que aquellos tienen prevalencia a lo instituido en esta disposición.</w:t>
      </w:r>
    </w:p>
    <w:p w:rsidR="00FD1C7F" w:rsidRPr="00C52DF3" w:rsidRDefault="00C17061">
      <w:pPr>
        <w:spacing w:before="240" w:after="240"/>
        <w:jc w:val="both"/>
        <w:rPr>
          <w:rFonts w:ascii="Arial" w:eastAsia="Arial" w:hAnsi="Arial" w:cs="Arial"/>
        </w:rPr>
      </w:pPr>
      <w:r w:rsidRPr="00C52DF3">
        <w:rPr>
          <w:rFonts w:ascii="Arial" w:eastAsia="Arial" w:hAnsi="Arial" w:cs="Arial"/>
          <w:b/>
        </w:rPr>
        <w:t>Artículo 4 °.</w:t>
      </w:r>
      <w:r w:rsidR="00C52DF3" w:rsidRPr="00C52DF3">
        <w:rPr>
          <w:rFonts w:ascii="Arial" w:eastAsia="Arial" w:hAnsi="Arial" w:cs="Arial"/>
          <w:b/>
        </w:rPr>
        <w:t xml:space="preserve"> </w:t>
      </w:r>
      <w:r w:rsidRPr="00C52DF3">
        <w:rPr>
          <w:rFonts w:ascii="Arial" w:eastAsia="Arial" w:hAnsi="Arial" w:cs="Arial"/>
        </w:rPr>
        <w:t>Los contratistas que coticen como independientes tendrán derecho a la licencia por matrimonio a la que se refiere el numeral 1</w:t>
      </w:r>
      <w:r w:rsidR="00555B92">
        <w:rPr>
          <w:rFonts w:ascii="Arial" w:eastAsia="Arial" w:hAnsi="Arial" w:cs="Arial"/>
        </w:rPr>
        <w:t>3</w:t>
      </w:r>
      <w:r w:rsidRPr="00C52DF3">
        <w:rPr>
          <w:rFonts w:ascii="Arial" w:eastAsia="Arial" w:hAnsi="Arial" w:cs="Arial"/>
        </w:rPr>
        <w:t xml:space="preserve"> del artículo 57 del código sustantivo del trabajo.</w:t>
      </w:r>
    </w:p>
    <w:p w:rsidR="00FD1C7F" w:rsidRPr="00C52DF3" w:rsidRDefault="00C17061">
      <w:pPr>
        <w:spacing w:before="240" w:after="240"/>
        <w:jc w:val="both"/>
        <w:rPr>
          <w:rFonts w:ascii="Arial" w:eastAsia="Arial" w:hAnsi="Arial" w:cs="Arial"/>
        </w:rPr>
      </w:pPr>
      <w:r w:rsidRPr="00C52DF3">
        <w:rPr>
          <w:rFonts w:ascii="Arial" w:eastAsia="Arial" w:hAnsi="Arial" w:cs="Arial"/>
          <w:b/>
        </w:rPr>
        <w:t xml:space="preserve">Artículo 5°. Vigencia. </w:t>
      </w:r>
      <w:r w:rsidRPr="00C52DF3">
        <w:rPr>
          <w:rFonts w:ascii="Arial" w:eastAsia="Arial" w:hAnsi="Arial" w:cs="Arial"/>
        </w:rPr>
        <w:t>La presente ley entrará a regir dos (2) años después de su promulgación.</w:t>
      </w:r>
    </w:p>
    <w:p w:rsidR="00FD1C7F" w:rsidRDefault="00FD1C7F" w:rsidP="00C52DF3">
      <w:pPr>
        <w:pStyle w:val="Sinespaciado"/>
        <w:rPr>
          <w:rFonts w:ascii="Arial" w:hAnsi="Arial" w:cs="Arial"/>
        </w:rPr>
      </w:pPr>
    </w:p>
    <w:p w:rsidR="00C52DF3" w:rsidRDefault="00C52DF3" w:rsidP="00C52DF3">
      <w:pPr>
        <w:pStyle w:val="Sinespaciado"/>
        <w:rPr>
          <w:rFonts w:ascii="Arial" w:hAnsi="Arial" w:cs="Arial"/>
        </w:rPr>
      </w:pPr>
    </w:p>
    <w:p w:rsidR="00C52DF3" w:rsidRDefault="00C52DF3" w:rsidP="00C52DF3">
      <w:pPr>
        <w:pStyle w:val="Sinespaciado"/>
        <w:rPr>
          <w:rFonts w:ascii="Arial" w:hAnsi="Arial" w:cs="Arial"/>
        </w:rPr>
      </w:pPr>
    </w:p>
    <w:p w:rsidR="00C52DF3" w:rsidRPr="00C52DF3" w:rsidRDefault="00C52DF3" w:rsidP="00C52DF3">
      <w:pPr>
        <w:pStyle w:val="Sinespaciado"/>
        <w:rPr>
          <w:rFonts w:ascii="Arial" w:hAnsi="Arial" w:cs="Arial"/>
        </w:rPr>
      </w:pPr>
    </w:p>
    <w:p w:rsidR="00FD1C7F" w:rsidRPr="00C52DF3" w:rsidRDefault="00C17061" w:rsidP="00C52DF3">
      <w:pPr>
        <w:pStyle w:val="Sinespaciado"/>
        <w:rPr>
          <w:rFonts w:ascii="Arial" w:hAnsi="Arial" w:cs="Arial"/>
          <w:b/>
        </w:rPr>
      </w:pPr>
      <w:r w:rsidRPr="00C52DF3">
        <w:rPr>
          <w:rFonts w:ascii="Arial" w:hAnsi="Arial" w:cs="Arial"/>
          <w:b/>
        </w:rPr>
        <w:t xml:space="preserve">HÉCTOR DAVID CHAPARRO                            </w:t>
      </w:r>
      <w:r w:rsidRPr="00C52DF3">
        <w:rPr>
          <w:rFonts w:ascii="Arial" w:hAnsi="Arial" w:cs="Arial"/>
          <w:b/>
        </w:rPr>
        <w:tab/>
      </w:r>
    </w:p>
    <w:p w:rsidR="00FD1C7F" w:rsidRPr="00C52DF3" w:rsidRDefault="00C17061" w:rsidP="00C52DF3">
      <w:pPr>
        <w:pStyle w:val="Sinespaciado"/>
        <w:rPr>
          <w:rFonts w:ascii="Arial" w:hAnsi="Arial" w:cs="Arial"/>
        </w:rPr>
      </w:pPr>
      <w:r w:rsidRPr="00C52DF3">
        <w:rPr>
          <w:rFonts w:ascii="Arial" w:eastAsia="Arial" w:hAnsi="Arial" w:cs="Arial"/>
        </w:rPr>
        <w:t xml:space="preserve">ponente                                                </w:t>
      </w:r>
    </w:p>
    <w:p w:rsidR="00FD1C7F" w:rsidRPr="00C52DF3" w:rsidRDefault="00FD1C7F">
      <w:pPr>
        <w:jc w:val="both"/>
        <w:rPr>
          <w:rFonts w:ascii="Arial" w:eastAsia="Arial" w:hAnsi="Arial" w:cs="Arial"/>
          <w:b/>
        </w:rPr>
      </w:pPr>
    </w:p>
    <w:p w:rsidR="00FD1C7F" w:rsidRPr="00C52DF3" w:rsidRDefault="00FD1C7F">
      <w:pPr>
        <w:pBdr>
          <w:top w:val="nil"/>
          <w:left w:val="nil"/>
          <w:bottom w:val="nil"/>
          <w:right w:val="nil"/>
          <w:between w:val="nil"/>
        </w:pBdr>
        <w:spacing w:after="0" w:line="240" w:lineRule="auto"/>
        <w:jc w:val="both"/>
        <w:rPr>
          <w:rFonts w:ascii="Arial" w:eastAsia="Arial" w:hAnsi="Arial" w:cs="Arial"/>
          <w:color w:val="000000"/>
        </w:rPr>
      </w:pPr>
    </w:p>
    <w:sectPr w:rsidR="00FD1C7F" w:rsidRPr="00C52DF3">
      <w:headerReference w:type="default" r:id="rId7"/>
      <w:footerReference w:type="default" r:id="rId8"/>
      <w:pgSz w:w="12240" w:h="15840"/>
      <w:pgMar w:top="1531" w:right="1418" w:bottom="624" w:left="1701"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99" w:rsidRDefault="00BC2A99">
      <w:pPr>
        <w:spacing w:after="0" w:line="240" w:lineRule="auto"/>
      </w:pPr>
      <w:r>
        <w:separator/>
      </w:r>
    </w:p>
  </w:endnote>
  <w:endnote w:type="continuationSeparator" w:id="0">
    <w:p w:rsidR="00BC2A99" w:rsidRDefault="00BC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7F" w:rsidRDefault="00FD1C7F">
    <w:pPr>
      <w:pBdr>
        <w:top w:val="nil"/>
        <w:left w:val="nil"/>
        <w:bottom w:val="nil"/>
        <w:right w:val="nil"/>
        <w:between w:val="nil"/>
      </w:pBdr>
      <w:tabs>
        <w:tab w:val="center" w:pos="4419"/>
        <w:tab w:val="right" w:pos="8838"/>
      </w:tabs>
      <w:spacing w:after="0" w:line="240" w:lineRule="auto"/>
      <w:jc w:val="right"/>
      <w:rPr>
        <w:color w:val="000000"/>
      </w:rPr>
    </w:pPr>
  </w:p>
  <w:p w:rsidR="00FD1C7F" w:rsidRDefault="00FD1C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99" w:rsidRDefault="00BC2A99">
      <w:pPr>
        <w:spacing w:after="0" w:line="240" w:lineRule="auto"/>
      </w:pPr>
      <w:r>
        <w:separator/>
      </w:r>
    </w:p>
  </w:footnote>
  <w:footnote w:type="continuationSeparator" w:id="0">
    <w:p w:rsidR="00BC2A99" w:rsidRDefault="00BC2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7F" w:rsidRDefault="00C17061">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1854517</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7F"/>
    <w:rsid w:val="002F7FD7"/>
    <w:rsid w:val="0043723B"/>
    <w:rsid w:val="0048358A"/>
    <w:rsid w:val="004E237B"/>
    <w:rsid w:val="00555B92"/>
    <w:rsid w:val="009A7317"/>
    <w:rsid w:val="00AD1BB8"/>
    <w:rsid w:val="00BC2A99"/>
    <w:rsid w:val="00C17061"/>
    <w:rsid w:val="00C52DF3"/>
    <w:rsid w:val="00CB3368"/>
    <w:rsid w:val="00F24F88"/>
    <w:rsid w:val="00FD1C7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EA0C"/>
  <w15:docId w15:val="{FED8CC52-0D3C-4538-BC99-1A899BE7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8537">
      <w:bodyDiv w:val="1"/>
      <w:marLeft w:val="0"/>
      <w:marRight w:val="0"/>
      <w:marTop w:val="0"/>
      <w:marBottom w:val="0"/>
      <w:divBdr>
        <w:top w:val="none" w:sz="0" w:space="0" w:color="auto"/>
        <w:left w:val="none" w:sz="0" w:space="0" w:color="auto"/>
        <w:bottom w:val="none" w:sz="0" w:space="0" w:color="auto"/>
        <w:right w:val="none" w:sz="0" w:space="0" w:color="auto"/>
      </w:divBdr>
    </w:div>
    <w:div w:id="174699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qzrlU8AuAMR60h5XTBbQnnxNA==">AMUW2mUnhDc99RodzF5c4yf5FsaZJk4eZX13qMDb6iLkPxaYqAlkrSmge3U+Gsw+F/yAdr5FwfK9lUTvfnmZuMzzhXEhuSBawA/gZRtas3EeXdcVMjFMakc=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5</cp:revision>
  <cp:lastPrinted>2022-11-28T14:54:00Z</cp:lastPrinted>
  <dcterms:created xsi:type="dcterms:W3CDTF">2022-11-24T23:20:00Z</dcterms:created>
  <dcterms:modified xsi:type="dcterms:W3CDTF">2022-11-28T15:08:00Z</dcterms:modified>
</cp:coreProperties>
</file>